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25C3" w14:textId="632F09A8" w:rsidR="00EB1290" w:rsidRPr="00EB1290" w:rsidRDefault="003E0235" w:rsidP="00EB1290">
      <w:pPr>
        <w:widowControl/>
        <w:tabs>
          <w:tab w:val="left" w:pos="7560"/>
        </w:tabs>
        <w:ind w:right="-1109"/>
        <w:rPr>
          <w:rFonts w:ascii="Times New Roman" w:hAnsi="Times New Roman"/>
          <w:szCs w:val="22"/>
        </w:rPr>
      </w:pPr>
      <w:bookmarkStart w:id="0" w:name="_Toc422324752"/>
      <w:r>
        <w:rPr>
          <w:rFonts w:ascii="Times New Roman" w:hAnsi="Times New Roman"/>
        </w:rPr>
        <w:object w:dxaOrig="1440" w:dyaOrig="1440" w14:anchorId="51563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0.6pt;margin-top:-50.25pt;width:320.05pt;height:28pt;z-index:251659264;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30" DrawAspect="Content" ObjectID="_1698234318" r:id="rId8"/>
        </w:object>
      </w:r>
      <w:r w:rsidR="00847E70">
        <w:rPr>
          <w:rFonts w:ascii="Times New Roman" w:hAnsi="Times New Roman"/>
        </w:rPr>
        <w:t>FIFTY-FIRST REGULAR SESSION</w:t>
      </w:r>
      <w:r w:rsidR="00847E70">
        <w:rPr>
          <w:rFonts w:ascii="Times New Roman" w:hAnsi="Times New Roman"/>
        </w:rPr>
        <w:tab/>
      </w:r>
      <w:r w:rsidR="00847E70">
        <w:rPr>
          <w:rFonts w:ascii="Times New Roman" w:hAnsi="Times New Roman"/>
        </w:rPr>
        <w:tab/>
      </w:r>
      <w:r w:rsidR="00E91F78">
        <w:rPr>
          <w:rFonts w:ascii="Times New Roman" w:hAnsi="Times New Roman"/>
        </w:rPr>
        <w:tab/>
      </w:r>
      <w:r w:rsidR="00E91F78">
        <w:rPr>
          <w:rFonts w:ascii="Times New Roman" w:hAnsi="Times New Roman"/>
        </w:rPr>
        <w:tab/>
      </w:r>
      <w:r w:rsidR="00E91F78">
        <w:rPr>
          <w:rFonts w:ascii="Times New Roman" w:hAnsi="Times New Roman"/>
        </w:rPr>
        <w:tab/>
      </w:r>
      <w:r w:rsidR="00847E70">
        <w:rPr>
          <w:rFonts w:ascii="Times New Roman" w:hAnsi="Times New Roman"/>
        </w:rPr>
        <w:t>OEA/</w:t>
      </w:r>
      <w:proofErr w:type="spellStart"/>
      <w:r w:rsidR="00847E70">
        <w:rPr>
          <w:rFonts w:ascii="Times New Roman" w:hAnsi="Times New Roman"/>
        </w:rPr>
        <w:t>Ser.P</w:t>
      </w:r>
      <w:proofErr w:type="spellEnd"/>
    </w:p>
    <w:p w14:paraId="268B8C99" w14:textId="721006A8" w:rsidR="00EB1290" w:rsidRPr="00EB1290" w:rsidRDefault="00EB1290" w:rsidP="00EB1290">
      <w:pPr>
        <w:widowControl/>
        <w:tabs>
          <w:tab w:val="center" w:pos="2160"/>
          <w:tab w:val="left" w:pos="7560"/>
        </w:tabs>
        <w:ind w:right="-1469"/>
        <w:jc w:val="left"/>
        <w:rPr>
          <w:rFonts w:ascii="Times New Roman" w:hAnsi="Times New Roman"/>
          <w:szCs w:val="22"/>
        </w:rPr>
      </w:pPr>
      <w:r>
        <w:rPr>
          <w:rFonts w:ascii="Times New Roman" w:hAnsi="Times New Roman"/>
        </w:rPr>
        <w:t>November 10 to 12, 2021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E91F78">
        <w:rPr>
          <w:rFonts w:ascii="Times New Roman" w:hAnsi="Times New Roman"/>
        </w:rPr>
        <w:tab/>
      </w:r>
      <w:r w:rsidR="00E91F78">
        <w:rPr>
          <w:rFonts w:ascii="Times New Roman" w:hAnsi="Times New Roman"/>
        </w:rPr>
        <w:tab/>
      </w:r>
      <w:r>
        <w:rPr>
          <w:rFonts w:ascii="Times New Roman" w:hAnsi="Times New Roman"/>
        </w:rPr>
        <w:t>AG/doc.5751/21</w:t>
      </w:r>
    </w:p>
    <w:p w14:paraId="529D8C7E" w14:textId="7F546229" w:rsidR="00EB1290" w:rsidRPr="00EB1290" w:rsidRDefault="00EB1290" w:rsidP="00EB1290">
      <w:pPr>
        <w:widowControl/>
        <w:tabs>
          <w:tab w:val="left" w:pos="7560"/>
        </w:tabs>
        <w:ind w:right="-1109"/>
        <w:rPr>
          <w:rFonts w:ascii="Times New Roman" w:hAnsi="Times New Roman"/>
          <w:szCs w:val="22"/>
        </w:rPr>
      </w:pPr>
      <w:r>
        <w:rPr>
          <w:rFonts w:ascii="Times New Roman" w:hAnsi="Times New Roman"/>
        </w:rPr>
        <w:t>Guatemala City, Guatemala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91F78">
        <w:rPr>
          <w:rFonts w:ascii="Times New Roman" w:hAnsi="Times New Roman"/>
        </w:rPr>
        <w:tab/>
      </w:r>
      <w:r w:rsidR="00E91F78">
        <w:rPr>
          <w:rFonts w:ascii="Times New Roman" w:hAnsi="Times New Roman"/>
        </w:rPr>
        <w:tab/>
      </w:r>
      <w:r>
        <w:rPr>
          <w:rFonts w:ascii="Times New Roman" w:hAnsi="Times New Roman"/>
        </w:rPr>
        <w:t>12 November 2021</w:t>
      </w:r>
    </w:p>
    <w:p w14:paraId="01239F7C" w14:textId="5FE048C5" w:rsidR="00EB1290" w:rsidRPr="00EB1290" w:rsidRDefault="00EB1290" w:rsidP="00EB1290">
      <w:pPr>
        <w:widowControl/>
        <w:tabs>
          <w:tab w:val="center" w:pos="2160"/>
          <w:tab w:val="left" w:pos="7560"/>
        </w:tabs>
        <w:ind w:right="-1109"/>
        <w:rPr>
          <w:rFonts w:ascii="Times New Roman" w:hAnsi="Times New Roman"/>
          <w:szCs w:val="22"/>
        </w:rPr>
      </w:pPr>
      <w:r>
        <w:rPr>
          <w:rFonts w:ascii="Times New Roman" w:hAnsi="Times New Roman"/>
        </w:rPr>
        <w:t>VIRTUAL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Original: Spanish</w:t>
      </w:r>
    </w:p>
    <w:p w14:paraId="747C95FF" w14:textId="77777777" w:rsidR="00AE123D" w:rsidRPr="00315FC5" w:rsidRDefault="00AE123D" w:rsidP="00AE123D">
      <w:pPr>
        <w:rPr>
          <w:rFonts w:ascii="Times New Roman" w:eastAsia="Times New Roman" w:hAnsi="Times New Roman"/>
          <w:szCs w:val="22"/>
          <w:lang w:eastAsia="en-US"/>
        </w:rPr>
      </w:pPr>
    </w:p>
    <w:p w14:paraId="6A934E9F" w14:textId="2A3946B2" w:rsidR="00F72DC5" w:rsidRDefault="00A83CA7" w:rsidP="00A83CA7">
      <w:pPr>
        <w:pStyle w:val="Heading2"/>
        <w:keepNext w:val="0"/>
        <w:widowControl/>
        <w:jc w:val="right"/>
        <w:rPr>
          <w:rFonts w:ascii="Times New Roman" w:hAnsi="Times New Roman"/>
          <w:b w:val="0"/>
          <w:u w:val="single"/>
        </w:rPr>
      </w:pPr>
      <w:r>
        <w:rPr>
          <w:rFonts w:ascii="Times New Roman" w:hAnsi="Times New Roman"/>
          <w:b w:val="0"/>
          <w:u w:val="single"/>
        </w:rPr>
        <w:t>Item 8 on the agenda</w:t>
      </w:r>
    </w:p>
    <w:p w14:paraId="7259E48A" w14:textId="7DA18614" w:rsidR="007379CA" w:rsidRPr="00315FC5" w:rsidRDefault="007379CA" w:rsidP="007379CA"/>
    <w:p w14:paraId="303C14B0" w14:textId="77777777" w:rsidR="00F72DC5" w:rsidRPr="00EB1290" w:rsidRDefault="00F72DC5" w:rsidP="0002147F">
      <w:pPr>
        <w:pStyle w:val="Heading2"/>
        <w:keepNext w:val="0"/>
        <w:widowControl/>
        <w:jc w:val="center"/>
        <w:rPr>
          <w:rFonts w:ascii="Times New Roman" w:hAnsi="Times New Roman"/>
          <w:b w:val="0"/>
        </w:rPr>
      </w:pPr>
    </w:p>
    <w:p w14:paraId="6C3861DB" w14:textId="77777777" w:rsidR="00C415D7" w:rsidRPr="00EB1290" w:rsidRDefault="00F72DC5" w:rsidP="0002147F">
      <w:pPr>
        <w:pStyle w:val="Heading2"/>
        <w:keepNext w:val="0"/>
        <w:widowControl/>
        <w:jc w:val="center"/>
        <w:rPr>
          <w:rFonts w:ascii="Times New Roman" w:hAnsi="Times New Roman"/>
          <w:b w:val="0"/>
        </w:rPr>
      </w:pPr>
      <w:r>
        <w:rPr>
          <w:rFonts w:ascii="Times New Roman" w:hAnsi="Times New Roman"/>
          <w:b w:val="0"/>
        </w:rPr>
        <w:t>DRAFT RESOLUTION</w:t>
      </w:r>
    </w:p>
    <w:p w14:paraId="4A0F0BD7" w14:textId="149ED9DA" w:rsidR="0002147F" w:rsidRPr="00EB1290" w:rsidRDefault="0002147F" w:rsidP="0002147F">
      <w:pPr>
        <w:pStyle w:val="Heading2"/>
        <w:keepNext w:val="0"/>
        <w:widowControl/>
        <w:jc w:val="center"/>
        <w:rPr>
          <w:rFonts w:ascii="Times New Roman" w:hAnsi="Times New Roman"/>
          <w:b w:val="0"/>
        </w:rPr>
      </w:pPr>
      <w:r>
        <w:rPr>
          <w:rFonts w:ascii="Times New Roman" w:hAnsi="Times New Roman"/>
          <w:b w:val="0"/>
        </w:rPr>
        <w:br/>
      </w:r>
      <w:bookmarkStart w:id="1" w:name="_Toc398801981"/>
      <w:r>
        <w:rPr>
          <w:rFonts w:ascii="Times New Roman" w:hAnsi="Times New Roman"/>
          <w:b w:val="0"/>
        </w:rPr>
        <w:t xml:space="preserve">PLACE AND DATE OF THE FIFTY-SECOND REGULAR SESSION </w:t>
      </w:r>
      <w:r w:rsidR="003E0235">
        <w:rPr>
          <w:rFonts w:ascii="Times New Roman" w:hAnsi="Times New Roman"/>
          <w:b w:val="0"/>
        </w:rPr>
        <w:br/>
      </w:r>
      <w:r>
        <w:rPr>
          <w:rFonts w:ascii="Times New Roman" w:hAnsi="Times New Roman"/>
          <w:b w:val="0"/>
        </w:rPr>
        <w:t>OF THE GENERAL ASSEMBLY</w:t>
      </w:r>
      <w:bookmarkEnd w:id="0"/>
      <w:bookmarkEnd w:id="1"/>
    </w:p>
    <w:p w14:paraId="3E46058E" w14:textId="31C6BEBF" w:rsidR="0002147F" w:rsidRPr="00315FC5" w:rsidRDefault="0002147F" w:rsidP="0002147F">
      <w:pPr>
        <w:widowControl/>
        <w:jc w:val="center"/>
        <w:rPr>
          <w:rFonts w:ascii="Times New Roman" w:hAnsi="Times New Roman"/>
          <w:szCs w:val="22"/>
          <w:lang w:eastAsia="es-ES"/>
        </w:rPr>
      </w:pPr>
    </w:p>
    <w:p w14:paraId="30907E54" w14:textId="2129F55B" w:rsidR="006A020C" w:rsidRDefault="006A020C" w:rsidP="0002147F">
      <w:pPr>
        <w:widowControl/>
        <w:jc w:val="center"/>
        <w:rPr>
          <w:rFonts w:ascii="Times New Roman" w:hAnsi="Times New Roman"/>
          <w:szCs w:val="22"/>
        </w:rPr>
      </w:pPr>
      <w:bookmarkStart w:id="2" w:name="_Hlk87612429"/>
      <w:r>
        <w:rPr>
          <w:rFonts w:ascii="Times New Roman" w:hAnsi="Times New Roman"/>
        </w:rPr>
        <w:t>(Presented by the delegation of Peru)</w:t>
      </w:r>
    </w:p>
    <w:bookmarkEnd w:id="2"/>
    <w:p w14:paraId="61B6562F" w14:textId="77777777" w:rsidR="006A020C" w:rsidRPr="00315FC5" w:rsidRDefault="006A020C" w:rsidP="0002147F">
      <w:pPr>
        <w:widowControl/>
        <w:jc w:val="center"/>
        <w:rPr>
          <w:rFonts w:ascii="Times New Roman" w:hAnsi="Times New Roman"/>
          <w:szCs w:val="22"/>
          <w:lang w:eastAsia="es-ES"/>
        </w:rPr>
      </w:pPr>
    </w:p>
    <w:p w14:paraId="5A19A580" w14:textId="77777777" w:rsidR="0002147F" w:rsidRPr="00315FC5" w:rsidRDefault="0002147F" w:rsidP="0002147F">
      <w:pPr>
        <w:widowControl/>
        <w:rPr>
          <w:rFonts w:ascii="Times New Roman" w:hAnsi="Times New Roman"/>
          <w:szCs w:val="22"/>
          <w:lang w:eastAsia="es-ES"/>
        </w:rPr>
      </w:pPr>
    </w:p>
    <w:p w14:paraId="0019A22F" w14:textId="77777777" w:rsidR="0002147F" w:rsidRPr="00EB1290" w:rsidRDefault="0002147F" w:rsidP="001903FF">
      <w:pPr>
        <w:widowControl/>
        <w:spacing w:line="360" w:lineRule="auto"/>
        <w:rPr>
          <w:rFonts w:ascii="Times New Roman" w:hAnsi="Times New Roman"/>
          <w:szCs w:val="22"/>
        </w:rPr>
      </w:pPr>
      <w:r>
        <w:rPr>
          <w:rFonts w:ascii="Times New Roman" w:hAnsi="Times New Roman"/>
        </w:rPr>
        <w:tab/>
        <w:t xml:space="preserve">THE GENERAL ASSEMBLY, </w:t>
      </w:r>
    </w:p>
    <w:p w14:paraId="726FA343" w14:textId="77777777" w:rsidR="0002147F" w:rsidRPr="00315FC5" w:rsidRDefault="0002147F" w:rsidP="001903FF">
      <w:pPr>
        <w:widowControl/>
        <w:spacing w:line="360" w:lineRule="auto"/>
        <w:rPr>
          <w:rFonts w:ascii="Times New Roman" w:hAnsi="Times New Roman"/>
          <w:szCs w:val="22"/>
          <w:lang w:eastAsia="es-ES"/>
        </w:rPr>
      </w:pPr>
    </w:p>
    <w:p w14:paraId="3FD73867" w14:textId="77777777" w:rsidR="0002147F" w:rsidRPr="00EB1290" w:rsidRDefault="0002147F" w:rsidP="001903FF">
      <w:pPr>
        <w:widowControl/>
        <w:spacing w:line="360" w:lineRule="auto"/>
        <w:rPr>
          <w:rFonts w:ascii="Times New Roman" w:hAnsi="Times New Roman"/>
          <w:szCs w:val="22"/>
        </w:rPr>
      </w:pPr>
      <w:r>
        <w:rPr>
          <w:rFonts w:ascii="Times New Roman" w:hAnsi="Times New Roman"/>
        </w:rPr>
        <w:tab/>
        <w:t>TAKING INTO ACCOUNT Articles 43 and 44 of the Rules of Procedure of the General Assembly relating to the holding of regular sessions of the General Assembly and the determination of the date and place for those sessions; and</w:t>
      </w:r>
    </w:p>
    <w:p w14:paraId="3E9BA0A8" w14:textId="77777777" w:rsidR="0002147F" w:rsidRPr="00315FC5" w:rsidRDefault="0002147F" w:rsidP="001903FF">
      <w:pPr>
        <w:widowControl/>
        <w:spacing w:line="360" w:lineRule="auto"/>
        <w:rPr>
          <w:rFonts w:ascii="Times New Roman" w:hAnsi="Times New Roman"/>
          <w:szCs w:val="22"/>
          <w:lang w:eastAsia="es-ES"/>
        </w:rPr>
      </w:pPr>
    </w:p>
    <w:p w14:paraId="736F33AE" w14:textId="77777777" w:rsidR="0002147F" w:rsidRPr="00EB1290" w:rsidRDefault="0002147F" w:rsidP="001903FF">
      <w:pPr>
        <w:widowControl/>
        <w:spacing w:line="360" w:lineRule="auto"/>
        <w:rPr>
          <w:rFonts w:ascii="Times New Roman" w:hAnsi="Times New Roman"/>
          <w:szCs w:val="22"/>
        </w:rPr>
      </w:pPr>
      <w:r>
        <w:rPr>
          <w:rFonts w:ascii="Times New Roman" w:hAnsi="Times New Roman"/>
        </w:rPr>
        <w:t>CONSIDERING:</w:t>
      </w:r>
    </w:p>
    <w:p w14:paraId="0C1E9493" w14:textId="77777777" w:rsidR="0002147F" w:rsidRPr="00315FC5" w:rsidRDefault="0002147F" w:rsidP="001903FF">
      <w:pPr>
        <w:widowControl/>
        <w:spacing w:line="360" w:lineRule="auto"/>
        <w:rPr>
          <w:rFonts w:ascii="Times New Roman" w:hAnsi="Times New Roman"/>
          <w:szCs w:val="22"/>
          <w:lang w:eastAsia="es-ES"/>
        </w:rPr>
      </w:pPr>
    </w:p>
    <w:p w14:paraId="0C367058" w14:textId="77777777" w:rsidR="0002147F" w:rsidRPr="00EB1290" w:rsidRDefault="0002147F" w:rsidP="001903FF">
      <w:pPr>
        <w:widowControl/>
        <w:spacing w:line="360" w:lineRule="auto"/>
        <w:rPr>
          <w:rFonts w:ascii="Times New Roman" w:hAnsi="Times New Roman"/>
          <w:szCs w:val="22"/>
        </w:rPr>
      </w:pPr>
      <w:r>
        <w:rPr>
          <w:rFonts w:ascii="Times New Roman" w:hAnsi="Times New Roman"/>
        </w:rPr>
        <w:tab/>
        <w:t xml:space="preserve">That the General Assembly of the Organization of American States shall hold a regular session each year, preferably during the second quarter; and </w:t>
      </w:r>
    </w:p>
    <w:p w14:paraId="1F80A880" w14:textId="77777777" w:rsidR="0002147F" w:rsidRPr="00315FC5" w:rsidRDefault="0002147F" w:rsidP="001903FF">
      <w:pPr>
        <w:widowControl/>
        <w:spacing w:line="360" w:lineRule="auto"/>
        <w:rPr>
          <w:rFonts w:ascii="Times New Roman" w:hAnsi="Times New Roman"/>
          <w:szCs w:val="22"/>
          <w:lang w:eastAsia="es-ES"/>
        </w:rPr>
      </w:pPr>
    </w:p>
    <w:p w14:paraId="25CD09BF" w14:textId="6D7BB442" w:rsidR="0002147F" w:rsidRPr="00EB1290" w:rsidRDefault="0002147F" w:rsidP="001903FF">
      <w:pPr>
        <w:widowControl/>
        <w:spacing w:line="360" w:lineRule="auto"/>
        <w:rPr>
          <w:rFonts w:ascii="Times New Roman" w:hAnsi="Times New Roman"/>
          <w:szCs w:val="22"/>
        </w:rPr>
      </w:pPr>
      <w:r>
        <w:rPr>
          <w:rFonts w:ascii="Times New Roman" w:hAnsi="Times New Roman"/>
        </w:rPr>
        <w:tab/>
        <w:t>That the government of Peru, by note AG/CP/INF. 798/21, has offered to host the fifty-second regular session of the General Assembly of the Organization, which is to be held in 2022, as a reaffirmation of its commitment to the purposes and principles of the Charter of the OAS and as a demonstration of its firm resolve to continue participating actively in strengthening the Organization,</w:t>
      </w:r>
    </w:p>
    <w:p w14:paraId="45FBB6A8" w14:textId="77777777" w:rsidR="0002147F" w:rsidRPr="00315FC5" w:rsidRDefault="0002147F" w:rsidP="001903FF">
      <w:pPr>
        <w:widowControl/>
        <w:spacing w:line="360" w:lineRule="auto"/>
        <w:rPr>
          <w:rFonts w:ascii="Times New Roman" w:hAnsi="Times New Roman"/>
          <w:szCs w:val="22"/>
          <w:lang w:eastAsia="es-ES"/>
        </w:rPr>
      </w:pPr>
    </w:p>
    <w:p w14:paraId="67E2FA68" w14:textId="77777777" w:rsidR="006A020C" w:rsidRDefault="006A020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br w:type="page"/>
      </w:r>
    </w:p>
    <w:p w14:paraId="649B35CD" w14:textId="2B1536C5" w:rsidR="0002147F" w:rsidRPr="00EB1290" w:rsidRDefault="0002147F" w:rsidP="001903FF">
      <w:pPr>
        <w:widowControl/>
        <w:spacing w:line="360" w:lineRule="auto"/>
        <w:rPr>
          <w:rFonts w:ascii="Times New Roman" w:hAnsi="Times New Roman"/>
          <w:szCs w:val="22"/>
        </w:rPr>
      </w:pPr>
      <w:r>
        <w:rPr>
          <w:rFonts w:ascii="Times New Roman" w:hAnsi="Times New Roman"/>
        </w:rPr>
        <w:lastRenderedPageBreak/>
        <w:t>RESOLVES:</w:t>
      </w:r>
    </w:p>
    <w:p w14:paraId="316BF375" w14:textId="77777777" w:rsidR="0002147F" w:rsidRPr="00EB1290" w:rsidRDefault="0002147F" w:rsidP="001903FF">
      <w:pPr>
        <w:widowControl/>
        <w:spacing w:line="360" w:lineRule="auto"/>
        <w:rPr>
          <w:rFonts w:ascii="Times New Roman" w:hAnsi="Times New Roman"/>
          <w:szCs w:val="22"/>
          <w:lang w:val="es-ES_tradnl" w:eastAsia="es-ES"/>
        </w:rPr>
      </w:pPr>
    </w:p>
    <w:p w14:paraId="15679E42" w14:textId="7B9573E6" w:rsidR="0002147F" w:rsidRDefault="0002147F" w:rsidP="001903FF">
      <w:pPr>
        <w:widowControl/>
        <w:numPr>
          <w:ilvl w:val="0"/>
          <w:numId w:val="1"/>
        </w:numPr>
        <w:spacing w:line="360" w:lineRule="auto"/>
        <w:ind w:left="0" w:firstLine="720"/>
        <w:rPr>
          <w:rFonts w:ascii="Times New Roman" w:hAnsi="Times New Roman"/>
          <w:szCs w:val="22"/>
        </w:rPr>
      </w:pPr>
      <w:r>
        <w:rPr>
          <w:rFonts w:ascii="Times New Roman" w:hAnsi="Times New Roman"/>
        </w:rPr>
        <w:t xml:space="preserve">To determine that the fifty-second regular session of the General Assembly be held in Peru on a date to be determined later within the Permanent Council of the Organization of American States. </w:t>
      </w:r>
    </w:p>
    <w:p w14:paraId="2F8C4B1F" w14:textId="77777777" w:rsidR="006A020C" w:rsidRPr="00315FC5" w:rsidRDefault="006A020C" w:rsidP="006A020C">
      <w:pPr>
        <w:widowControl/>
        <w:tabs>
          <w:tab w:val="clear" w:pos="1440"/>
        </w:tabs>
        <w:spacing w:line="360" w:lineRule="auto"/>
        <w:ind w:left="720"/>
        <w:rPr>
          <w:rFonts w:ascii="Times New Roman" w:hAnsi="Times New Roman"/>
          <w:szCs w:val="22"/>
          <w:lang w:eastAsia="es-ES"/>
        </w:rPr>
      </w:pPr>
    </w:p>
    <w:p w14:paraId="7C314325" w14:textId="43EE5B81" w:rsidR="0002147F" w:rsidRPr="00EB1290" w:rsidRDefault="0002147F" w:rsidP="001903FF">
      <w:pPr>
        <w:widowControl/>
        <w:numPr>
          <w:ilvl w:val="0"/>
          <w:numId w:val="1"/>
        </w:numPr>
        <w:spacing w:line="360" w:lineRule="auto"/>
        <w:ind w:left="0" w:firstLine="720"/>
        <w:rPr>
          <w:rFonts w:ascii="Times New Roman" w:hAnsi="Times New Roman"/>
          <w:szCs w:val="22"/>
        </w:rPr>
      </w:pPr>
      <w:r>
        <w:rPr>
          <w:rFonts w:ascii="Times New Roman" w:hAnsi="Times New Roman"/>
        </w:rPr>
        <w:t>To thank the Government of Peru for its generous offer to host the fifty-second regular session of the General Assembly.</w:t>
      </w:r>
    </w:p>
    <w:p w14:paraId="08E9EC50" w14:textId="77777777" w:rsidR="0002147F" w:rsidRPr="00EB1290" w:rsidRDefault="0002147F" w:rsidP="001903FF">
      <w:pPr>
        <w:widowControl/>
        <w:spacing w:line="360" w:lineRule="auto"/>
        <w:rPr>
          <w:rFonts w:ascii="Times New Roman" w:hAnsi="Times New Roman"/>
          <w:szCs w:val="22"/>
        </w:rPr>
      </w:pPr>
    </w:p>
    <w:p w14:paraId="111B74EF" w14:textId="77777777" w:rsidR="0002147F" w:rsidRPr="00EB1290" w:rsidRDefault="0002147F" w:rsidP="001903FF">
      <w:pPr>
        <w:widowControl/>
        <w:spacing w:line="360" w:lineRule="auto"/>
        <w:rPr>
          <w:rFonts w:ascii="Times New Roman" w:hAnsi="Times New Roman"/>
          <w:szCs w:val="22"/>
        </w:rPr>
      </w:pPr>
    </w:p>
    <w:p w14:paraId="6561AD51" w14:textId="108312E8" w:rsidR="00391A8F" w:rsidRPr="00EB1290" w:rsidRDefault="003E0235" w:rsidP="001903FF">
      <w:pPr>
        <w:spacing w:line="360" w:lineRule="auto"/>
        <w:rPr>
          <w:rFonts w:ascii="Times New Roman" w:hAnsi="Times New Roman"/>
        </w:rPr>
      </w:pPr>
      <w:r>
        <w:rPr>
          <w:noProof/>
        </w:rPr>
        <w:drawing>
          <wp:anchor distT="0" distB="0" distL="114300" distR="114300" simplePos="0" relativeHeight="251661312" behindDoc="0" locked="0" layoutInCell="1" allowOverlap="1" wp14:anchorId="1F1FF2C3" wp14:editId="5EB94206">
            <wp:simplePos x="0" y="0"/>
            <wp:positionH relativeFrom="margin">
              <wp:align>right</wp:align>
            </wp:positionH>
            <wp:positionV relativeFrom="paragraph">
              <wp:posOffset>4724400</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315FC5">
        <w:rPr>
          <w:rFonts w:ascii="Times New Roman" w:hAnsi="Times New Roman"/>
          <w:noProof/>
        </w:rPr>
        <mc:AlternateContent>
          <mc:Choice Requires="wps">
            <w:drawing>
              <wp:anchor distT="0" distB="0" distL="114300" distR="114300" simplePos="0" relativeHeight="251660288" behindDoc="0" locked="1" layoutInCell="1" allowOverlap="1" wp14:anchorId="6141CDD3" wp14:editId="46E9BA5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B111E4D" w14:textId="6AFD680F" w:rsidR="00315FC5" w:rsidRPr="00315FC5" w:rsidRDefault="00315FC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AG08443E04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41CDD3"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7B111E4D" w14:textId="6AFD680F" w:rsidR="00315FC5" w:rsidRPr="00315FC5" w:rsidRDefault="00315FC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AG08443E04</w:t>
                      </w:r>
                      <w:r>
                        <w:rPr>
                          <w:rFonts w:ascii="Times New Roman" w:hAnsi="Times New Roman"/>
                          <w:sz w:val="18"/>
                        </w:rPr>
                        <w:fldChar w:fldCharType="end"/>
                      </w:r>
                    </w:p>
                  </w:txbxContent>
                </v:textbox>
                <w10:wrap anchory="page"/>
                <w10:anchorlock/>
              </v:shape>
            </w:pict>
          </mc:Fallback>
        </mc:AlternateContent>
      </w:r>
    </w:p>
    <w:sectPr w:rsidR="00391A8F" w:rsidRPr="00EB1290" w:rsidSect="00315FC5">
      <w:headerReference w:type="default" r:id="rId10"/>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2C6C" w14:textId="77777777" w:rsidR="006A020C" w:rsidRDefault="006A020C" w:rsidP="006A020C">
      <w:r>
        <w:separator/>
      </w:r>
    </w:p>
  </w:endnote>
  <w:endnote w:type="continuationSeparator" w:id="0">
    <w:p w14:paraId="2375F4E0" w14:textId="77777777" w:rsidR="006A020C" w:rsidRDefault="006A020C" w:rsidP="006A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DDA1" w14:textId="77777777" w:rsidR="006A020C" w:rsidRDefault="006A020C" w:rsidP="006A020C">
      <w:r>
        <w:separator/>
      </w:r>
    </w:p>
  </w:footnote>
  <w:footnote w:type="continuationSeparator" w:id="0">
    <w:p w14:paraId="653BA1B7" w14:textId="77777777" w:rsidR="006A020C" w:rsidRDefault="006A020C" w:rsidP="006A0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286C" w14:textId="57D9D157" w:rsidR="006A020C" w:rsidRPr="006A020C" w:rsidRDefault="006A020C">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396973922"/>
        <w:docPartObj>
          <w:docPartGallery w:val="Page Numbers (Top of Page)"/>
          <w:docPartUnique/>
        </w:docPartObj>
      </w:sdtPr>
      <w:sdtEndPr>
        <w:rPr>
          <w:noProof/>
        </w:rPr>
      </w:sdtEndPr>
      <w:sdtContent>
        <w:r w:rsidRPr="006A020C">
          <w:rPr>
            <w:rFonts w:ascii="Times New Roman" w:hAnsi="Times New Roman"/>
          </w:rPr>
          <w:fldChar w:fldCharType="begin"/>
        </w:r>
        <w:r w:rsidRPr="006A020C">
          <w:rPr>
            <w:rFonts w:ascii="Times New Roman" w:hAnsi="Times New Roman"/>
          </w:rPr>
          <w:instrText xml:space="preserve"> PAGE   \* MERGEFORMAT </w:instrText>
        </w:r>
        <w:r w:rsidRPr="006A020C">
          <w:rPr>
            <w:rFonts w:ascii="Times New Roman" w:hAnsi="Times New Roman"/>
          </w:rPr>
          <w:fldChar w:fldCharType="separate"/>
        </w:r>
        <w:r w:rsidRPr="006A020C">
          <w:rPr>
            <w:rFonts w:ascii="Times New Roman" w:hAnsi="Times New Roman"/>
          </w:rPr>
          <w:t>2</w:t>
        </w:r>
        <w:r w:rsidRPr="006A020C">
          <w:rPr>
            <w:rFonts w:ascii="Times New Roman" w:hAnsi="Times New Roman"/>
          </w:rPr>
          <w:fldChar w:fldCharType="end"/>
        </w:r>
        <w:r>
          <w:rPr>
            <w:rFonts w:ascii="Times New Roman" w:hAnsi="Times New Roman"/>
          </w:rPr>
          <w:t xml:space="preserve"> -</w:t>
        </w:r>
      </w:sdtContent>
    </w:sdt>
  </w:p>
  <w:p w14:paraId="43AD0D9C" w14:textId="77777777" w:rsidR="006A020C" w:rsidRDefault="006A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7F"/>
    <w:rsid w:val="00007110"/>
    <w:rsid w:val="0002147F"/>
    <w:rsid w:val="000F6031"/>
    <w:rsid w:val="00125B44"/>
    <w:rsid w:val="001903FF"/>
    <w:rsid w:val="001D68F5"/>
    <w:rsid w:val="001E7462"/>
    <w:rsid w:val="002437BE"/>
    <w:rsid w:val="00315FC5"/>
    <w:rsid w:val="003267DC"/>
    <w:rsid w:val="00337B8D"/>
    <w:rsid w:val="0038003D"/>
    <w:rsid w:val="00391A8F"/>
    <w:rsid w:val="00393A60"/>
    <w:rsid w:val="003B0B42"/>
    <w:rsid w:val="003E0235"/>
    <w:rsid w:val="00452602"/>
    <w:rsid w:val="0046740F"/>
    <w:rsid w:val="00474BCE"/>
    <w:rsid w:val="004C5C62"/>
    <w:rsid w:val="00567C5A"/>
    <w:rsid w:val="006A020C"/>
    <w:rsid w:val="006B3C30"/>
    <w:rsid w:val="006F581B"/>
    <w:rsid w:val="006F659A"/>
    <w:rsid w:val="00714A72"/>
    <w:rsid w:val="007379CA"/>
    <w:rsid w:val="00754C41"/>
    <w:rsid w:val="007F205A"/>
    <w:rsid w:val="00847E70"/>
    <w:rsid w:val="00890326"/>
    <w:rsid w:val="008D1406"/>
    <w:rsid w:val="008F0D9E"/>
    <w:rsid w:val="00945C64"/>
    <w:rsid w:val="0095221D"/>
    <w:rsid w:val="00977C1B"/>
    <w:rsid w:val="009E2B01"/>
    <w:rsid w:val="00A10C89"/>
    <w:rsid w:val="00A43167"/>
    <w:rsid w:val="00A66DE3"/>
    <w:rsid w:val="00A83CA7"/>
    <w:rsid w:val="00AA0CB8"/>
    <w:rsid w:val="00AE123D"/>
    <w:rsid w:val="00B45CE9"/>
    <w:rsid w:val="00B50B29"/>
    <w:rsid w:val="00B511FC"/>
    <w:rsid w:val="00B806E8"/>
    <w:rsid w:val="00C415D7"/>
    <w:rsid w:val="00C744F0"/>
    <w:rsid w:val="00CC7FAA"/>
    <w:rsid w:val="00CF2357"/>
    <w:rsid w:val="00DC024E"/>
    <w:rsid w:val="00DC70EE"/>
    <w:rsid w:val="00DE7496"/>
    <w:rsid w:val="00E858D6"/>
    <w:rsid w:val="00E91F78"/>
    <w:rsid w:val="00EB1290"/>
    <w:rsid w:val="00EF4101"/>
    <w:rsid w:val="00F029A4"/>
    <w:rsid w:val="00F05A7A"/>
    <w:rsid w:val="00F10342"/>
    <w:rsid w:val="00F45AE7"/>
    <w:rsid w:val="00F524EA"/>
    <w:rsid w:val="00F601E5"/>
    <w:rsid w:val="00F72DC5"/>
    <w:rsid w:val="00FC5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6E2CB4"/>
  <w15:docId w15:val="{E7D14C3D-BE34-4F3E-B3EF-2044A28F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47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sz w:val="22"/>
      <w:lang w:eastAsia="es-ES_tradnl"/>
    </w:rPr>
  </w:style>
  <w:style w:type="paragraph" w:styleId="Heading1">
    <w:name w:val="heading 1"/>
    <w:basedOn w:val="Normal"/>
    <w:next w:val="Normal"/>
    <w:link w:val="Heading1Char"/>
    <w:qFormat/>
    <w:rsid w:val="0095221D"/>
    <w:pPr>
      <w:keepNext/>
      <w:ind w:right="-1260"/>
      <w:outlineLvl w:val="0"/>
    </w:pPr>
    <w:rPr>
      <w:b/>
      <w:szCs w:val="22"/>
    </w:rPr>
  </w:style>
  <w:style w:type="paragraph" w:styleId="Heading2">
    <w:name w:val="heading 2"/>
    <w:basedOn w:val="Normal"/>
    <w:next w:val="Normal"/>
    <w:link w:val="Heading2Char"/>
    <w:qFormat/>
    <w:rsid w:val="0095221D"/>
    <w:pPr>
      <w:keepNext/>
      <w:outlineLvl w:val="1"/>
    </w:pPr>
    <w:rPr>
      <w:b/>
      <w:szCs w:val="22"/>
    </w:rPr>
  </w:style>
  <w:style w:type="paragraph" w:styleId="Heading3">
    <w:name w:val="heading 3"/>
    <w:basedOn w:val="Normal"/>
    <w:next w:val="Normal"/>
    <w:link w:val="Heading3Char"/>
    <w:qFormat/>
    <w:rsid w:val="0095221D"/>
    <w:pPr>
      <w:keepNext/>
      <w:outlineLvl w:val="2"/>
    </w:pPr>
    <w:rPr>
      <w:bCs/>
      <w:u w:val="single"/>
    </w:rPr>
  </w:style>
  <w:style w:type="paragraph" w:styleId="Heading4">
    <w:name w:val="heading 4"/>
    <w:basedOn w:val="Normal"/>
    <w:next w:val="Normal"/>
    <w:link w:val="Heading4Char"/>
    <w:qFormat/>
    <w:rsid w:val="0095221D"/>
    <w:pPr>
      <w:keepNext/>
      <w:spacing w:after="120"/>
      <w:jc w:val="center"/>
      <w:outlineLvl w:val="3"/>
    </w:pPr>
    <w:rPr>
      <w:b/>
      <w:bCs/>
    </w:rPr>
  </w:style>
  <w:style w:type="paragraph" w:styleId="Heading5">
    <w:name w:val="heading 5"/>
    <w:basedOn w:val="Normal"/>
    <w:next w:val="Normal"/>
    <w:link w:val="Heading5Char"/>
    <w:qFormat/>
    <w:rsid w:val="0095221D"/>
    <w:pPr>
      <w:spacing w:before="240" w:after="60"/>
      <w:outlineLvl w:val="4"/>
    </w:pPr>
    <w:rPr>
      <w:b/>
      <w:bCs/>
      <w:i/>
      <w:iCs/>
      <w:sz w:val="26"/>
      <w:szCs w:val="26"/>
    </w:rPr>
  </w:style>
  <w:style w:type="paragraph" w:styleId="Heading6">
    <w:name w:val="heading 6"/>
    <w:basedOn w:val="Normal"/>
    <w:next w:val="Normal"/>
    <w:link w:val="Heading6Char"/>
    <w:qFormat/>
    <w:rsid w:val="0095221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before="240" w:after="60"/>
      <w:jc w:val="left"/>
      <w:outlineLvl w:val="5"/>
    </w:pPr>
    <w:rPr>
      <w:rFonts w:ascii="Times New Roman" w:eastAsia="SimSun" w:hAnsi="Times New Roman"/>
      <w:b/>
      <w:bCs/>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21D"/>
    <w:rPr>
      <w:rFonts w:ascii="CG Times" w:hAnsi="CG Times"/>
      <w:b/>
      <w:sz w:val="22"/>
      <w:szCs w:val="22"/>
      <w:lang w:val="en-US"/>
    </w:rPr>
  </w:style>
  <w:style w:type="character" w:customStyle="1" w:styleId="Heading2Char">
    <w:name w:val="Heading 2 Char"/>
    <w:link w:val="Heading2"/>
    <w:rsid w:val="0095221D"/>
    <w:rPr>
      <w:rFonts w:ascii="CG Times" w:hAnsi="CG Times"/>
      <w:b/>
      <w:sz w:val="22"/>
      <w:szCs w:val="22"/>
      <w:lang w:val="en-US"/>
    </w:rPr>
  </w:style>
  <w:style w:type="character" w:customStyle="1" w:styleId="Heading3Char">
    <w:name w:val="Heading 3 Char"/>
    <w:link w:val="Heading3"/>
    <w:rsid w:val="0095221D"/>
    <w:rPr>
      <w:rFonts w:ascii="CG Times" w:hAnsi="CG Times"/>
      <w:bCs/>
      <w:sz w:val="22"/>
      <w:u w:val="single"/>
      <w:lang w:val="en-US"/>
    </w:rPr>
  </w:style>
  <w:style w:type="character" w:customStyle="1" w:styleId="Heading4Char">
    <w:name w:val="Heading 4 Char"/>
    <w:link w:val="Heading4"/>
    <w:rsid w:val="0095221D"/>
    <w:rPr>
      <w:rFonts w:ascii="CG Times" w:hAnsi="CG Times"/>
      <w:b/>
      <w:bCs/>
      <w:sz w:val="22"/>
      <w:lang w:val="en-US"/>
    </w:rPr>
  </w:style>
  <w:style w:type="character" w:customStyle="1" w:styleId="Heading5Char">
    <w:name w:val="Heading 5 Char"/>
    <w:link w:val="Heading5"/>
    <w:rsid w:val="0095221D"/>
    <w:rPr>
      <w:rFonts w:ascii="CG Times" w:hAnsi="CG Times"/>
      <w:b/>
      <w:bCs/>
      <w:i/>
      <w:iCs/>
      <w:sz w:val="26"/>
      <w:szCs w:val="26"/>
      <w:lang w:val="en-US"/>
    </w:rPr>
  </w:style>
  <w:style w:type="character" w:customStyle="1" w:styleId="Heading6Char">
    <w:name w:val="Heading 6 Char"/>
    <w:link w:val="Heading6"/>
    <w:rsid w:val="0095221D"/>
    <w:rPr>
      <w:rFonts w:eastAsia="SimSun"/>
      <w:b/>
      <w:bCs/>
      <w:sz w:val="22"/>
      <w:szCs w:val="22"/>
      <w:lang w:val="en-US" w:eastAsia="zh-CN"/>
    </w:rPr>
  </w:style>
  <w:style w:type="character" w:styleId="Strong">
    <w:name w:val="Strong"/>
    <w:qFormat/>
    <w:rsid w:val="0095221D"/>
    <w:rPr>
      <w:rFonts w:cs="Times New Roman"/>
      <w:b/>
      <w:bCs/>
    </w:rPr>
  </w:style>
  <w:style w:type="character" w:styleId="Emphasis">
    <w:name w:val="Emphasis"/>
    <w:qFormat/>
    <w:rsid w:val="0095221D"/>
    <w:rPr>
      <w:b/>
      <w:bCs/>
      <w:i w:val="0"/>
      <w:iCs w:val="0"/>
    </w:rPr>
  </w:style>
  <w:style w:type="paragraph" w:styleId="BalloonText">
    <w:name w:val="Balloon Text"/>
    <w:basedOn w:val="Normal"/>
    <w:link w:val="BalloonTextChar"/>
    <w:rsid w:val="00945C64"/>
    <w:rPr>
      <w:rFonts w:ascii="Segoe UI" w:hAnsi="Segoe UI" w:cs="Segoe UI"/>
      <w:sz w:val="18"/>
      <w:szCs w:val="18"/>
    </w:rPr>
  </w:style>
  <w:style w:type="character" w:customStyle="1" w:styleId="BalloonTextChar">
    <w:name w:val="Balloon Text Char"/>
    <w:link w:val="BalloonText"/>
    <w:rsid w:val="00945C64"/>
    <w:rPr>
      <w:rFonts w:ascii="Segoe UI" w:eastAsia="MS Mincho" w:hAnsi="Segoe UI" w:cs="Segoe UI"/>
      <w:sz w:val="18"/>
      <w:szCs w:val="18"/>
      <w:lang w:val="en-US" w:eastAsia="es-ES_tradnl"/>
    </w:rPr>
  </w:style>
  <w:style w:type="paragraph" w:styleId="Header">
    <w:name w:val="header"/>
    <w:basedOn w:val="Normal"/>
    <w:link w:val="HeaderChar"/>
    <w:uiPriority w:val="99"/>
    <w:unhideWhenUsed/>
    <w:rsid w:val="006A020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6A020C"/>
    <w:rPr>
      <w:rFonts w:ascii="CG Times" w:eastAsia="MS Mincho" w:hAnsi="CG Times"/>
      <w:sz w:val="22"/>
      <w:lang w:val="en-US" w:eastAsia="es-ES_tradnl"/>
    </w:rPr>
  </w:style>
  <w:style w:type="paragraph" w:styleId="Footer">
    <w:name w:val="footer"/>
    <w:basedOn w:val="Normal"/>
    <w:link w:val="FooterChar"/>
    <w:unhideWhenUsed/>
    <w:rsid w:val="006A020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6A020C"/>
    <w:rPr>
      <w:rFonts w:ascii="CG Times" w:eastAsia="MS Mincho" w:hAnsi="CG Times"/>
      <w:sz w:val="22"/>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48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18606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229</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Mayorga, Georgina</cp:lastModifiedBy>
  <cp:revision>4</cp:revision>
  <cp:lastPrinted>2016-06-15T18:35:00Z</cp:lastPrinted>
  <dcterms:created xsi:type="dcterms:W3CDTF">2021-11-12T19:11:00Z</dcterms:created>
  <dcterms:modified xsi:type="dcterms:W3CDTF">2021-11-12T19:59:00Z</dcterms:modified>
</cp:coreProperties>
</file>